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84A4F">
      <w:pPr>
        <w:pStyle w:val="Ttulo2"/>
        <w:rPr>
          <w:rFonts w:ascii="Helvetica" w:eastAsia="Times New Roman" w:hAnsi="Helvetica" w:cs="Helvetica"/>
        </w:rPr>
      </w:pPr>
      <w:r>
        <w:rPr>
          <w:rFonts w:ascii="Helvetica" w:eastAsia="Times New Roman" w:hAnsi="Helvetica" w:cs="Helvetica"/>
        </w:rPr>
        <w:t>REGISTRO DE ACTIVIDADES EN CALIDAD DE RESPONSABLE DE TRATAMIENTO</w:t>
      </w:r>
    </w:p>
    <w:p w:rsidR="00000000" w:rsidRDefault="00684A4F">
      <w:pPr>
        <w:pStyle w:val="NormalWeb"/>
        <w:jc w:val="center"/>
        <w:rPr>
          <w:rFonts w:ascii="Helvetica" w:hAnsi="Helvetica" w:cs="Helvetica"/>
          <w:sz w:val="20"/>
          <w:szCs w:val="20"/>
        </w:rPr>
      </w:pPr>
      <w:r>
        <w:rPr>
          <w:rStyle w:val="Textoennegrita"/>
          <w:rFonts w:ascii="Helvetica" w:hAnsi="Helvetica" w:cs="Helvetica"/>
          <w:sz w:val="20"/>
          <w:szCs w:val="20"/>
        </w:rPr>
        <w:t>AYUNTAMIENTO DE METAUTEN</w:t>
      </w:r>
    </w:p>
    <w:p w:rsidR="00000000" w:rsidRDefault="00684A4F">
      <w:pPr>
        <w:pStyle w:val="NormalWeb"/>
        <w:rPr>
          <w:rFonts w:ascii="Helvetica" w:hAnsi="Helvetica" w:cs="Helvetica"/>
          <w:sz w:val="20"/>
          <w:szCs w:val="20"/>
        </w:rPr>
      </w:pPr>
      <w:r>
        <w:rPr>
          <w:rFonts w:ascii="Helvetica" w:hAnsi="Helvetica" w:cs="Helvetica"/>
          <w:sz w:val="20"/>
          <w:szCs w:val="20"/>
        </w:rPr>
        <w:br/>
      </w:r>
      <w:r>
        <w:rPr>
          <w:rFonts w:ascii="Helvetica" w:hAnsi="Helvetica" w:cs="Helvetica"/>
          <w:sz w:val="20"/>
          <w:szCs w:val="20"/>
        </w:rPr>
        <w:t>AYUNTAMIENTO DE METAUTEN ha elaborado este registro de actividades de tratamiento (RAT) en cumplimiento del artículo 30.1 del Reglamento (UE) 679/2016 del Parlamento Europeo y del Consejo, de 27 de abril de 2016, relativo a la protección de las personas fí</w:t>
      </w:r>
      <w:r>
        <w:rPr>
          <w:rFonts w:ascii="Helvetica" w:hAnsi="Helvetica" w:cs="Helvetica"/>
          <w:sz w:val="20"/>
          <w:szCs w:val="20"/>
        </w:rPr>
        <w:t>sicas en lo que respecta al tratamiento de datos personales y a la libre circulación de estos datos (GDPR) y del artículo 31 de la Ley Orgánica 3/2018, de 5 de diciembre, de protección de datos personales y garantía de los derechos digitales (LOPDGDD).</w:t>
      </w:r>
    </w:p>
    <w:p w:rsidR="00000000" w:rsidRDefault="00684A4F">
      <w:pPr>
        <w:pStyle w:val="NormalWeb"/>
        <w:rPr>
          <w:rFonts w:ascii="Helvetica" w:hAnsi="Helvetica" w:cs="Helvetica"/>
          <w:sz w:val="20"/>
          <w:szCs w:val="20"/>
        </w:rPr>
      </w:pPr>
      <w:r>
        <w:rPr>
          <w:rFonts w:ascii="Helvetica" w:hAnsi="Helvetica" w:cs="Helvetica"/>
          <w:sz w:val="20"/>
          <w:szCs w:val="20"/>
        </w:rPr>
        <w:t xml:space="preserve">La </w:t>
      </w:r>
      <w:r>
        <w:rPr>
          <w:rFonts w:ascii="Helvetica" w:hAnsi="Helvetica" w:cs="Helvetica"/>
          <w:sz w:val="20"/>
          <w:szCs w:val="20"/>
        </w:rPr>
        <w:t xml:space="preserve">creación y el mantenimiento de este registro de actividades de tratamiento </w:t>
      </w:r>
      <w:proofErr w:type="gramStart"/>
      <w:r>
        <w:rPr>
          <w:rFonts w:ascii="Helvetica" w:hAnsi="Helvetica" w:cs="Helvetica"/>
          <w:sz w:val="20"/>
          <w:szCs w:val="20"/>
        </w:rPr>
        <w:t>sirve</w:t>
      </w:r>
      <w:proofErr w:type="gramEnd"/>
      <w:r>
        <w:rPr>
          <w:rFonts w:ascii="Helvetica" w:hAnsi="Helvetica" w:cs="Helvetica"/>
          <w:sz w:val="20"/>
          <w:szCs w:val="20"/>
        </w:rPr>
        <w:t xml:space="preserve"> para demostrar la conformidad con el RGPD y proporciona las evidencias para acreditar su cumplimiento, de conformidad con el principio de responsabilidad proactiva establecido</w:t>
      </w:r>
      <w:r>
        <w:rPr>
          <w:rFonts w:ascii="Helvetica" w:hAnsi="Helvetica" w:cs="Helvetica"/>
          <w:sz w:val="20"/>
          <w:szCs w:val="20"/>
        </w:rPr>
        <w:t xml:space="preserve"> en el artículo 5.2 del GDPR.</w:t>
      </w:r>
    </w:p>
    <w:p w:rsidR="00000000" w:rsidRDefault="00684A4F">
      <w:pPr>
        <w:pStyle w:val="NormalWeb"/>
        <w:rPr>
          <w:rFonts w:ascii="Helvetica" w:hAnsi="Helvetica" w:cs="Helvetica"/>
          <w:sz w:val="20"/>
          <w:szCs w:val="20"/>
        </w:rPr>
      </w:pPr>
      <w:r>
        <w:rPr>
          <w:rFonts w:ascii="Helvetica" w:hAnsi="Helvetica" w:cs="Helvetica"/>
          <w:sz w:val="20"/>
          <w:szCs w:val="20"/>
        </w:rPr>
        <w:t>De acuerdo con la normativa de régimen local, el Ayuntamiento presta servicios públicos vinculados con las diferentes competencias o funciones propias. Cualquiera de las actividades en las que consten datos de carácter persona</w:t>
      </w:r>
      <w:r>
        <w:rPr>
          <w:rFonts w:ascii="Helvetica" w:hAnsi="Helvetica" w:cs="Helvetica"/>
          <w:sz w:val="20"/>
          <w:szCs w:val="20"/>
        </w:rPr>
        <w:t>l implica un tratamiento de datos que se puede realizar de forma no automatizada o automatizada, parcial o totalmente. Por lo tanto, este registro de actividades de tratamiento recoge la información relativa a los tratamientos que son responsabilidad del A</w:t>
      </w:r>
      <w:r>
        <w:rPr>
          <w:rFonts w:ascii="Helvetica" w:hAnsi="Helvetica" w:cs="Helvetica"/>
          <w:sz w:val="20"/>
          <w:szCs w:val="20"/>
        </w:rPr>
        <w:t>yuntamiento.</w:t>
      </w:r>
    </w:p>
    <w:p w:rsidR="00000000" w:rsidRDefault="00684A4F">
      <w:pPr>
        <w:pStyle w:val="NormalWeb"/>
        <w:rPr>
          <w:rFonts w:ascii="Helvetica" w:hAnsi="Helvetica" w:cs="Helvetica"/>
          <w:sz w:val="20"/>
          <w:szCs w:val="20"/>
        </w:rPr>
      </w:pPr>
      <w:r>
        <w:rPr>
          <w:rStyle w:val="Textoennegrita"/>
          <w:rFonts w:ascii="Helvetica" w:hAnsi="Helvetica" w:cs="Helvetica"/>
          <w:sz w:val="20"/>
          <w:szCs w:val="20"/>
        </w:rPr>
        <w:t xml:space="preserve">Control de versiones del RAT en calidad de responsable </w:t>
      </w:r>
    </w:p>
    <w:p w:rsidR="00000000" w:rsidRDefault="00684A4F">
      <w:pPr>
        <w:divId w:val="1444809189"/>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546649838"/>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pStyle w:val="NormalWeb"/>
        <w:rPr>
          <w:rFonts w:ascii="Helvetica" w:hAnsi="Helvetica" w:cs="Helvetica"/>
          <w:sz w:val="20"/>
          <w:szCs w:val="20"/>
        </w:rPr>
      </w:pPr>
      <w:r>
        <w:rPr>
          <w:rStyle w:val="Textoennegrita"/>
          <w:rFonts w:ascii="Helvetica" w:hAnsi="Helvetica" w:cs="Helvetica"/>
          <w:sz w:val="20"/>
          <w:szCs w:val="20"/>
        </w:rPr>
        <w:t>Identificación del responsable de tratamiento</w:t>
      </w:r>
    </w:p>
    <w:tbl>
      <w:tblPr>
        <w:tblW w:w="5000" w:type="pct"/>
        <w:tblCellMar>
          <w:top w:w="15" w:type="dxa"/>
          <w:left w:w="15" w:type="dxa"/>
          <w:bottom w:w="15" w:type="dxa"/>
          <w:right w:w="15" w:type="dxa"/>
        </w:tblCellMar>
        <w:tblLook w:val="04A0"/>
      </w:tblPr>
      <w:tblGrid>
        <w:gridCol w:w="2687"/>
        <w:gridCol w:w="2687"/>
        <w:gridCol w:w="1001"/>
        <w:gridCol w:w="2279"/>
      </w:tblGrid>
      <w:tr w:rsidR="0000000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Teléfono</w:t>
            </w: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00000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AYUNTAMIENTO DE METAUTEN</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CARRETERA GANUZA, 1 - 31241 MATAUTEN (Navarra)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948540139</w:t>
            </w: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ayuntamiento@metauten.es</w:t>
            </w:r>
          </w:p>
        </w:tc>
      </w:tr>
    </w:tbl>
    <w:p w:rsidR="00000000" w:rsidRDefault="00684A4F">
      <w:pPr>
        <w:divId w:val="1714160827"/>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216548367"/>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pStyle w:val="NormalWeb"/>
        <w:rPr>
          <w:rFonts w:ascii="Helvetica" w:hAnsi="Helvetica" w:cs="Helvetica"/>
          <w:sz w:val="20"/>
          <w:szCs w:val="20"/>
        </w:rPr>
      </w:pPr>
      <w:r>
        <w:rPr>
          <w:rStyle w:val="Textoennegrita"/>
          <w:rFonts w:ascii="Helvetica" w:hAnsi="Helvetica" w:cs="Helvetica"/>
          <w:sz w:val="20"/>
          <w:szCs w:val="20"/>
        </w:rPr>
        <w:t>Identificación del delegado de protección de datos (DPO)</w:t>
      </w:r>
    </w:p>
    <w:tbl>
      <w:tblPr>
        <w:tblW w:w="5000" w:type="pct"/>
        <w:tblCellMar>
          <w:top w:w="15" w:type="dxa"/>
          <w:left w:w="15" w:type="dxa"/>
          <w:bottom w:w="15" w:type="dxa"/>
          <w:right w:w="15" w:type="dxa"/>
        </w:tblCellMar>
        <w:tblLook w:val="04A0"/>
      </w:tblPr>
      <w:tblGrid>
        <w:gridCol w:w="2641"/>
        <w:gridCol w:w="2642"/>
        <w:gridCol w:w="478"/>
        <w:gridCol w:w="2893"/>
      </w:tblGrid>
      <w:tr w:rsidR="00000000">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Nombre</w:t>
            </w:r>
          </w:p>
        </w:tc>
        <w:tc>
          <w:tcPr>
            <w:tcW w:w="175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Dirección</w:t>
            </w:r>
          </w:p>
        </w:tc>
        <w:tc>
          <w:tcPr>
            <w:tcW w:w="5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shd w:val="clear" w:color="auto" w:fill="EEEEEE"/>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Correo electrónico</w:t>
            </w:r>
          </w:p>
        </w:tc>
      </w:tr>
      <w:tr w:rsidR="00000000">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B0E7F">
            <w:pPr>
              <w:rPr>
                <w:rFonts w:ascii="Helvetica" w:eastAsia="Times New Roman" w:hAnsi="Helvetica" w:cs="Helvetica"/>
                <w:sz w:val="17"/>
                <w:szCs w:val="17"/>
              </w:rPr>
            </w:pPr>
            <w:r>
              <w:rPr>
                <w:rFonts w:ascii="Helvetica" w:eastAsia="Times New Roman" w:hAnsi="Helvetica" w:cs="Helvetica"/>
                <w:sz w:val="17"/>
                <w:szCs w:val="17"/>
              </w:rPr>
              <w:t>PRODATOS CUMPLIMIENTO NORMATIVO S.L.</w:t>
            </w:r>
          </w:p>
        </w:tc>
        <w:tc>
          <w:tcPr>
            <w:tcW w:w="175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PASEO INDEPENDENCIA, 22, 7º. 50004 ZARAGOZA</w:t>
            </w:r>
          </w:p>
        </w:tc>
        <w:tc>
          <w:tcPr>
            <w:tcW w:w="5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p>
        </w:tc>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miguel.cortes@ateacompliance.com</w:t>
            </w:r>
          </w:p>
        </w:tc>
      </w:tr>
    </w:tbl>
    <w:p w:rsidR="00000000" w:rsidRDefault="00684A4F">
      <w:pPr>
        <w:divId w:val="213390887"/>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1410539096"/>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pStyle w:val="NormalWeb"/>
        <w:rPr>
          <w:rFonts w:ascii="Helvetica" w:hAnsi="Helvetica" w:cs="Helvetica"/>
          <w:sz w:val="20"/>
          <w:szCs w:val="20"/>
        </w:rPr>
      </w:pPr>
      <w:r>
        <w:rPr>
          <w:rStyle w:val="Textoennegrita"/>
          <w:rFonts w:ascii="Helvetica" w:hAnsi="Helvetica" w:cs="Helvetica"/>
          <w:sz w:val="20"/>
          <w:szCs w:val="20"/>
        </w:rPr>
        <w:t>Inventario de las actividades de tratamiento en calidad de responsable</w:t>
      </w:r>
    </w:p>
    <w:p w:rsidR="00000000" w:rsidRDefault="00684A4F">
      <w:pPr>
        <w:divId w:val="443810853"/>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39131654"/>
        <w:rPr>
          <w:rFonts w:ascii="Helvetica" w:eastAsia="Times New Roman" w:hAnsi="Helvetica" w:cs="Helvetica"/>
          <w:sz w:val="20"/>
          <w:szCs w:val="20"/>
        </w:rPr>
      </w:pPr>
      <w:r>
        <w:rPr>
          <w:rFonts w:ascii="Helvetica" w:eastAsia="Times New Roman" w:hAnsi="Helvetica" w:cs="Helvetica"/>
          <w:sz w:val="20"/>
          <w:szCs w:val="20"/>
        </w:rPr>
        <w:t> </w:t>
      </w:r>
    </w:p>
    <w:tbl>
      <w:tblPr>
        <w:tblW w:w="5000" w:type="pct"/>
        <w:tblCellMar>
          <w:top w:w="15" w:type="dxa"/>
          <w:left w:w="15" w:type="dxa"/>
          <w:bottom w:w="15" w:type="dxa"/>
          <w:right w:w="15" w:type="dxa"/>
        </w:tblCellMar>
        <w:tblLook w:val="04A0"/>
      </w:tblPr>
      <w:tblGrid>
        <w:gridCol w:w="2081"/>
        <w:gridCol w:w="6417"/>
        <w:gridCol w:w="156"/>
      </w:tblGrid>
      <w:tr w:rsidR="00000000">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684A4F">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Tratamiento</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684A4F">
            <w:pPr>
              <w:jc w:val="center"/>
              <w:rPr>
                <w:rFonts w:ascii="Helvetica" w:eastAsia="Times New Roman" w:hAnsi="Helvetica" w:cs="Helvetica"/>
                <w:b/>
                <w:bCs/>
                <w:color w:val="333333"/>
                <w:sz w:val="17"/>
                <w:szCs w:val="17"/>
              </w:rPr>
            </w:pPr>
            <w:r>
              <w:rPr>
                <w:rFonts w:ascii="Helvetica" w:eastAsia="Times New Roman" w:hAnsi="Helvetica" w:cs="Helvetica"/>
                <w:b/>
                <w:bCs/>
                <w:color w:val="333333"/>
                <w:sz w:val="17"/>
                <w:szCs w:val="17"/>
              </w:rPr>
              <w:t>Descripción</w:t>
            </w:r>
          </w:p>
        </w:tc>
        <w:tc>
          <w:tcPr>
            <w:tcW w:w="0" w:type="auto"/>
            <w:tcBorders>
              <w:top w:val="single" w:sz="6" w:space="0" w:color="BBBBBB"/>
              <w:left w:val="single" w:sz="6" w:space="0" w:color="BBBBBB"/>
              <w:bottom w:val="single" w:sz="6" w:space="0" w:color="BBBBBB"/>
              <w:right w:val="single" w:sz="6" w:space="0" w:color="BBBBBB"/>
            </w:tcBorders>
            <w:shd w:val="clear" w:color="auto" w:fill="BAE6FF"/>
            <w:tcMar>
              <w:top w:w="45" w:type="dxa"/>
              <w:left w:w="75" w:type="dxa"/>
              <w:bottom w:w="45" w:type="dxa"/>
              <w:right w:w="75" w:type="dxa"/>
            </w:tcMar>
            <w:vAlign w:val="center"/>
            <w:hideMark/>
          </w:tcPr>
          <w:p w:rsidR="00000000" w:rsidRDefault="00684A4F">
            <w:pPr>
              <w:jc w:val="center"/>
              <w:rPr>
                <w:rFonts w:ascii="Helvetica" w:eastAsia="Times New Roman" w:hAnsi="Helvetica" w:cs="Helvetica"/>
                <w:b/>
                <w:bCs/>
                <w:color w:val="333333"/>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LABORAL Y RR. HH.</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PROVEEDORES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FISCAL Y CONTABLE</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Registro de las obligaciones fiscales y contables sujetas a la </w:t>
            </w:r>
            <w:r>
              <w:rPr>
                <w:rFonts w:ascii="Helvetica" w:eastAsia="Times New Roman" w:hAnsi="Helvetica" w:cs="Helvetica"/>
                <w:sz w:val="17"/>
                <w:szCs w:val="17"/>
              </w:rPr>
              <w:t>actividad económica</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CONTACTOS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productos y servicios. Incluye contactos del correo electrónico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JORNADA LABORAL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ÓRGANOS DE GOBIERNO Y CONCEJALES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de los órganos de gobierno y</w:t>
            </w:r>
            <w:r>
              <w:rPr>
                <w:rFonts w:ascii="Helvetica" w:eastAsia="Times New Roman" w:hAnsi="Helvetica" w:cs="Helvetica"/>
                <w:sz w:val="17"/>
                <w:szCs w:val="17"/>
              </w:rPr>
              <w:t xml:space="preserve"> concejales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PADRÓN MUNICIPAL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TRIBUTOS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fiscales de ciudadanos para las remesas de impuestos y sus respectivos cobros IAE (Impuesto de Actividades), IBI (Impuesto Bienes Inmuebles), IIVT (Impuesto Incremento Valor Terreno) y otras Tasas municipales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 DOCUMENTOS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w:t>
            </w:r>
            <w:r>
              <w:rPr>
                <w:rFonts w:ascii="Helvetica" w:eastAsia="Times New Roman" w:hAnsi="Helvetica" w:cs="Helvetica"/>
                <w:sz w:val="17"/>
                <w:szCs w:val="17"/>
              </w:rPr>
              <w:t xml:space="preserve"> entradas y salidas de los documentos presentados en 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CIVIL Y JUZGADO DE PAZ</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 y al Juzgado de Paz</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CENSO ELECTORAL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Bases de datos a efectos de cumplir las disposiciones de la Ley Orgánica 5/1985 del Régimen Electoral General</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EXPEDIENTES ADMINISTRATIVOS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USUARIOS WEB</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y la sede electrónica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URBANISMO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DENUNCIAS INTERNAS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información para poner en conocimiento la comisión de acto</w:t>
            </w:r>
            <w:r>
              <w:rPr>
                <w:rFonts w:ascii="Helvetica" w:eastAsia="Times New Roman" w:hAnsi="Helvetica" w:cs="Helvetica"/>
                <w:sz w:val="17"/>
                <w:szCs w:val="17"/>
              </w:rPr>
              <w:t>s o conductas que pudieran resultar contrarios a la normativa general o sectorial que fuera aplicable a la organización, según lo indicado en la Ley 2/2023 de 20 de febrero reguladora de la protección de las personas que informen sobre infracciones normati</w:t>
            </w:r>
            <w:r>
              <w:rPr>
                <w:rFonts w:ascii="Helvetica" w:eastAsia="Times New Roman" w:hAnsi="Helvetica" w:cs="Helvetica"/>
                <w:sz w:val="17"/>
                <w:szCs w:val="17"/>
              </w:rPr>
              <w:t>vas y de lucha contra la corrupción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jc w:val="center"/>
              <w:rPr>
                <w:rFonts w:ascii="Helvetica" w:eastAsia="Times New Roman" w:hAnsi="Helvetica" w:cs="Helvetica"/>
                <w:sz w:val="17"/>
                <w:szCs w:val="17"/>
              </w:rPr>
            </w:pPr>
          </w:p>
        </w:tc>
      </w:tr>
    </w:tbl>
    <w:p w:rsidR="00000000" w:rsidRDefault="00684A4F">
      <w:pPr>
        <w:divId w:val="1871912036"/>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877854779"/>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pStyle w:val="NormalWeb"/>
        <w:rPr>
          <w:rFonts w:ascii="Helvetica" w:hAnsi="Helvetica" w:cs="Helvetica"/>
          <w:sz w:val="20"/>
          <w:szCs w:val="20"/>
        </w:rPr>
      </w:pPr>
      <w:r>
        <w:rPr>
          <w:rStyle w:val="Textoennegrita"/>
          <w:rFonts w:ascii="Helvetica" w:hAnsi="Helvetica" w:cs="Helvetica"/>
          <w:sz w:val="20"/>
          <w:szCs w:val="20"/>
        </w:rPr>
        <w:t>Actividades de tratamiento en calidad de responsable</w:t>
      </w:r>
    </w:p>
    <w:p w:rsidR="00000000" w:rsidRDefault="00684A4F">
      <w:pPr>
        <w:divId w:val="1813055040"/>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1356543181"/>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pStyle w:val="Ttulo3"/>
        <w:rPr>
          <w:rFonts w:ascii="Helvetica" w:eastAsia="Times New Roman" w:hAnsi="Helvetica" w:cs="Helvetica"/>
        </w:rPr>
      </w:pPr>
      <w:r>
        <w:rPr>
          <w:rFonts w:ascii="Helvetica" w:eastAsia="Times New Roman" w:hAnsi="Helvetica" w:cs="Helvetica"/>
        </w:rPr>
        <w:t>1. LABORAL Y RR. HH.</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administrativa y laboral del personal empleado en 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Prevención de riesgos laborales servicio externo, Recursos humanos, Gestión de nóminas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Para la ejecución de un CONTRATO o precontrato con el interesado (artículo 6.1.b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El mismo interesado o su representante </w:t>
            </w:r>
            <w:r>
              <w:rPr>
                <w:rFonts w:ascii="Helvetica" w:eastAsia="Times New Roman" w:hAnsi="Helvetica" w:cs="Helvetica"/>
                <w:sz w:val="17"/>
                <w:szCs w:val="17"/>
              </w:rPr>
              <w:t>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Empleados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Sistema de </w:t>
            </w:r>
            <w:r>
              <w:rPr>
                <w:rFonts w:ascii="Helvetica" w:eastAsia="Times New Roman" w:hAnsi="Helvetica" w:cs="Helvetica"/>
                <w:sz w:val="17"/>
                <w:szCs w:val="17"/>
              </w:rPr>
              <w:lastRenderedPageBreak/>
              <w:t>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lastRenderedPageBreak/>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 Núm. de SS o mutualidad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Características personales, Académicos y </w:t>
            </w:r>
            <w:r>
              <w:rPr>
                <w:rFonts w:ascii="Helvetica" w:eastAsia="Times New Roman" w:hAnsi="Helvetica" w:cs="Helvetica"/>
                <w:sz w:val="17"/>
                <w:szCs w:val="17"/>
              </w:rPr>
              <w:t>profesionales, Detalles de empleo, Económicos, financieros y de seguro, Transacciones de bienes y servicios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000000" w:rsidRDefault="00684A4F">
            <w:pPr>
              <w:numPr>
                <w:ilvl w:val="0"/>
                <w:numId w:val="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Entidades aseguradoras</w:t>
            </w:r>
          </w:p>
          <w:p w:rsidR="00000000" w:rsidRDefault="00684A4F">
            <w:pPr>
              <w:numPr>
                <w:ilvl w:val="0"/>
                <w:numId w:val="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Organismos de la Seguridad Social</w:t>
            </w:r>
          </w:p>
          <w:p w:rsidR="00000000" w:rsidRDefault="00684A4F">
            <w:pPr>
              <w:numPr>
                <w:ilvl w:val="0"/>
                <w:numId w:val="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p w:rsidR="00000000" w:rsidRDefault="00684A4F">
            <w:pPr>
              <w:numPr>
                <w:ilvl w:val="0"/>
                <w:numId w:val="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2. PROVEEDORES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comercial con proveedores. Incluye datos de contacto de personas físicas que presten servicios a una persona jurídica, inclusive los profesionales individuales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 INTE</w:t>
            </w:r>
            <w:r>
              <w:rPr>
                <w:rFonts w:ascii="Helvetica" w:eastAsia="Times New Roman" w:hAnsi="Helvetica" w:cs="Helvetica"/>
                <w:sz w:val="17"/>
                <w:szCs w:val="17"/>
              </w:rPr>
              <w:t>RÉS LEGÍTIMO del Responsable del tratamiento o Tercero (artículo 6.1.f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Clientes y usuarios, Proveedores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Firma manual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Información comercial, Transacciones de bienes y servicios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Las medidas de seguridad implantadas se corresponden con las previstas en el Anexo II (Medidas de seguridad) del Real Decreto 311/2022, de 3 de mayo, por el que se regula el Esquema </w:t>
            </w:r>
            <w:r>
              <w:rPr>
                <w:rFonts w:ascii="Helvetica" w:eastAsia="Times New Roman" w:hAnsi="Helvetica" w:cs="Helvetica"/>
                <w:sz w:val="17"/>
                <w:szCs w:val="17"/>
              </w:rPr>
              <w:t>Nacional de Seguridad (ENS) en el ámbito de la Administración Electrónica,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3. FISCAL Y CONTABLE</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 las obligaciones fiscales y contables sujetas a la actividad económica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Clientes y usuarios, Proveedores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000000" w:rsidRDefault="00684A4F">
            <w:pPr>
              <w:numPr>
                <w:ilvl w:val="0"/>
                <w:numId w:val="1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4. CONTACTOS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lastRenderedPageBreak/>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Comunicación, información y gestión sobre productos y servicios. Incluye contactos del correo electrónico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Publicidad y prospección comercial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Clientes y usuarios, Personas de contacto, Solicitantes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el fin del tratamiento o mientras existan prescripciones legales que dictaminen su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Información comercial</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5. REGISTRO JORNADA LABORAL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horario de la jornada laboral para dar cumplimiento al RDL 8/2019 de medidas urgentes de protección social y de lucha contra la precariedad laboral en la jornada de trabajo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de nóminas, Recursos humanos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Empleados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4 años para el registro horario de jornada laboral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Identificador de usuario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000000" w:rsidRDefault="00684A4F">
            <w:pPr>
              <w:numPr>
                <w:ilvl w:val="0"/>
                <w:numId w:val="1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Organismos de la Seguridad Social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Las medidas de seguridad implantadas se corresponden con las previstas en el Anexo II (Medidas de seguridad) del Real Decreto 311/2022, de 3 de mayo, por el </w:t>
            </w:r>
            <w:r>
              <w:rPr>
                <w:rFonts w:ascii="Helvetica" w:eastAsia="Times New Roman" w:hAnsi="Helvetica" w:cs="Helvetica"/>
                <w:sz w:val="17"/>
                <w:szCs w:val="17"/>
              </w:rPr>
              <w:t>que se regula el Esquema Nacional de Seguridad (ENS) en el ámbito de la Administración Electrónica,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6. ÓRGANOS DE GOBIERNO Y CONCEJALES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de los órganos de gobierno y concejales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Recursos humanos, Gestión de nóminas,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 conforme la Ley 7/1985, de 2 de abril, Reguladora de las Bases del Régimen Local. y la Ley 19/2013, de 9 de diciembre, de transparencia, acceso a la información pú</w:t>
            </w:r>
            <w:r>
              <w:rPr>
                <w:rFonts w:ascii="Helvetica" w:eastAsia="Times New Roman" w:hAnsi="Helvetica" w:cs="Helvetica"/>
                <w:sz w:val="17"/>
                <w:szCs w:val="17"/>
              </w:rPr>
              <w:t>blica y buen gobierno.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Cargos públicos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Núm. de SS o mutualidad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1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Registros públicos</w:t>
            </w:r>
          </w:p>
          <w:p w:rsidR="00000000" w:rsidRDefault="00684A4F">
            <w:pPr>
              <w:numPr>
                <w:ilvl w:val="0"/>
                <w:numId w:val="1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Organismos de la Seguridad Social</w:t>
            </w:r>
          </w:p>
          <w:p w:rsidR="00000000" w:rsidRDefault="00684A4F">
            <w:pPr>
              <w:numPr>
                <w:ilvl w:val="0"/>
                <w:numId w:val="1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lastRenderedPageBreak/>
              <w:t>Administración tributaria</w:t>
            </w:r>
          </w:p>
          <w:p w:rsidR="00000000" w:rsidRDefault="00684A4F">
            <w:pPr>
              <w:numPr>
                <w:ilvl w:val="0"/>
                <w:numId w:val="1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w:t>
            </w:r>
          </w:p>
          <w:p w:rsidR="00000000" w:rsidRDefault="00684A4F">
            <w:pPr>
              <w:numPr>
                <w:ilvl w:val="0"/>
                <w:numId w:val="2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Participación ciudadana, publicidad activa, transparencia y gobierno abierto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Las medidas de seguridad implantadas se corresponden con las previstas en el Anexo II (Medidas de seguridad) del Real Decreto 311/2022, de 3 de mayo, por el que se regula el Esquema </w:t>
            </w:r>
            <w:r>
              <w:rPr>
                <w:rFonts w:ascii="Helvetica" w:eastAsia="Times New Roman" w:hAnsi="Helvetica" w:cs="Helvetica"/>
                <w:sz w:val="17"/>
                <w:szCs w:val="17"/>
              </w:rPr>
              <w:t>Nacional de Seguridad (ENS) en el ámbito de la Administración Electrónica,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7. PADRÓN MUNICIPAL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de los datos relativos a los habitantes del municipio para las finalidades propias de la Ley que regula el Padrón Municipal (Ley de Bases del Régimen Local)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Fines estadísticos, históricos o científicos, Fines de interés público basados en la legislación vigente, Padrón de habitantes, Gestión del padrón según la Ley de Bases de Régimen Local y demás normativa aplicable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2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w:t>
            </w:r>
            <w:r>
              <w:rPr>
                <w:rFonts w:ascii="Helvetica" w:eastAsia="Times New Roman" w:hAnsi="Helvetica" w:cs="Helvetica"/>
                <w:sz w:val="17"/>
                <w:szCs w:val="17"/>
              </w:rPr>
              <w:t xml:space="preserve">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2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000000" w:rsidRDefault="00684A4F">
            <w:pPr>
              <w:numPr>
                <w:ilvl w:val="0"/>
                <w:numId w:val="2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Órganos judiciales</w:t>
            </w:r>
          </w:p>
          <w:p w:rsidR="00000000" w:rsidRDefault="00684A4F">
            <w:pPr>
              <w:numPr>
                <w:ilvl w:val="0"/>
                <w:numId w:val="2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000000" w:rsidRDefault="00684A4F">
            <w:pPr>
              <w:numPr>
                <w:ilvl w:val="0"/>
                <w:numId w:val="2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órganos de la administración pública</w:t>
            </w:r>
          </w:p>
          <w:p w:rsidR="00000000" w:rsidRDefault="00684A4F">
            <w:pPr>
              <w:numPr>
                <w:ilvl w:val="0"/>
                <w:numId w:val="2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8. TRIBUTOS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fiscales de ciudadanos para las remesas de impuestos y sus respectivos cobros IAE (Impuesto de Actividades), IBI (Impuesto Bienes Inmuebles), IIVT (Impuesto Incremento Valor Terreno) y otras Tasas municipales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Fines de interés público</w:t>
            </w:r>
            <w:r>
              <w:rPr>
                <w:rFonts w:ascii="Helvetica" w:eastAsia="Times New Roman" w:hAnsi="Helvetica" w:cs="Helvetica"/>
                <w:sz w:val="17"/>
                <w:szCs w:val="17"/>
              </w:rPr>
              <w:t xml:space="preserve"> basados en la legislación vigente, Gestión contable, fiscal y administrativa, Gestión económico-financiera pública, Gestión tributaria, inspección y recaudación.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2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w:t>
            </w:r>
            <w:r>
              <w:rPr>
                <w:rFonts w:ascii="Helvetica" w:eastAsia="Times New Roman" w:hAnsi="Helvetica" w:cs="Helvetica"/>
                <w:sz w:val="17"/>
                <w:szCs w:val="17"/>
              </w:rPr>
              <w:t>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Ciudadanos y residentes, Contribuyentes y sujetos obligados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mientras existan prescripciones legales que dictaminen la custodia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DNI o NIF, Nombre y apellidos, Dirección postal o electrónica, Teléfono, Otros datos identificativos: </w:t>
            </w:r>
            <w:proofErr w:type="spellStart"/>
            <w:r>
              <w:rPr>
                <w:rFonts w:ascii="Helvetica" w:eastAsia="Times New Roman" w:hAnsi="Helvetica" w:cs="Helvetica"/>
                <w:sz w:val="17"/>
                <w:szCs w:val="17"/>
              </w:rPr>
              <w:t>Comptes</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bancaris</w:t>
            </w:r>
            <w:proofErr w:type="spellEnd"/>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2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000000" w:rsidRDefault="00684A4F">
            <w:pPr>
              <w:numPr>
                <w:ilvl w:val="0"/>
                <w:numId w:val="2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Bancos, cajas de ahorro y cajas rurales</w:t>
            </w:r>
          </w:p>
          <w:p w:rsidR="00000000" w:rsidRDefault="00684A4F">
            <w:pPr>
              <w:numPr>
                <w:ilvl w:val="0"/>
                <w:numId w:val="3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tributaria</w:t>
            </w:r>
          </w:p>
          <w:p w:rsidR="00000000" w:rsidRDefault="00684A4F">
            <w:pPr>
              <w:numPr>
                <w:ilvl w:val="0"/>
                <w:numId w:val="3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Otros destinatarios de cesión: BASE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Descripción general de las medidas técnicas y organizativas de </w:t>
            </w:r>
            <w:r>
              <w:rPr>
                <w:rFonts w:ascii="Helvetica" w:eastAsia="Times New Roman" w:hAnsi="Helvetica" w:cs="Helvetica"/>
                <w:sz w:val="17"/>
                <w:szCs w:val="17"/>
              </w:rPr>
              <w:lastRenderedPageBreak/>
              <w:t>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Las medidas de seguridad implantadas se corresponden con las previstas en el Anexo II (Medidas de seguridad) del Real Decreto 311/2022, de 3 d</w:t>
            </w:r>
            <w:r>
              <w:rPr>
                <w:rFonts w:ascii="Helvetica" w:eastAsia="Times New Roman" w:hAnsi="Helvetica" w:cs="Helvetica"/>
                <w:sz w:val="17"/>
                <w:szCs w:val="17"/>
              </w:rPr>
              <w:t xml:space="preserve">e mayo, por el que se regula el Esquema Nacional de Seguridad (ENS) en el ámbito de la Administración Electrónica, las cuales se encuentran descritas en los documentos que conforman la política de </w:t>
            </w:r>
            <w:r>
              <w:rPr>
                <w:rFonts w:ascii="Helvetica" w:eastAsia="Times New Roman" w:hAnsi="Helvetica" w:cs="Helvetica"/>
                <w:sz w:val="17"/>
                <w:szCs w:val="17"/>
              </w:rPr>
              <w:lastRenderedPageBreak/>
              <w:t>protección de datos y seguridad de la información de nuestr</w:t>
            </w:r>
            <w:r>
              <w:rPr>
                <w:rFonts w:ascii="Helvetica" w:eastAsia="Times New Roman" w:hAnsi="Helvetica" w:cs="Helvetica"/>
                <w:sz w:val="17"/>
                <w:szCs w:val="17"/>
              </w:rPr>
              <w:t>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lastRenderedPageBreak/>
        <w:t>9. REGISTRO DE DOCUMENTOS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 entradas y salidas de los documentos presentados en 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Procedimiento administrativo,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p w:rsidR="00000000" w:rsidRDefault="00684A4F">
            <w:pPr>
              <w:numPr>
                <w:ilvl w:val="0"/>
                <w:numId w:val="3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w:t>
            </w:r>
            <w:r>
              <w:rPr>
                <w:rFonts w:ascii="Helvetica" w:eastAsia="Times New Roman" w:hAnsi="Helvetica" w:cs="Helvetica"/>
                <w:sz w:val="17"/>
                <w:szCs w:val="17"/>
              </w:rPr>
              <w:t>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 Entidad privada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Propietarios o arrendatarios, Solicitantes, Ciudadanos y residentes, Contribuyentes y sujetos obligados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Registros públicos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10. REGISTRO CIVIL Y JUZGADO DE PAZ</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 de datos de ciudadanos referentes a su estado civil y al Juzgado de Paz</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Publicaciones, Procedimiento administrativo, Fines de interés público basados en la legislación vigente</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w:t>
            </w:r>
            <w:r>
              <w:rPr>
                <w:rFonts w:ascii="Helvetica" w:eastAsia="Times New Roman" w:hAnsi="Helvetica" w:cs="Helvetica"/>
                <w:sz w:val="17"/>
                <w:szCs w:val="17"/>
              </w:rPr>
              <w:t>ÚBLICOS en el ejercicio de sus funciones (artículo 6.1.f GDPR)</w:t>
            </w:r>
          </w:p>
          <w:p w:rsidR="00000000" w:rsidRDefault="00684A4F">
            <w:pPr>
              <w:numPr>
                <w:ilvl w:val="0"/>
                <w:numId w:val="3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Firma manual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000000" w:rsidRDefault="00684A4F">
            <w:pPr>
              <w:numPr>
                <w:ilvl w:val="0"/>
                <w:numId w:val="3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Las medidas de seguridad implantadas se corresponden con las previstas en el Anexo II (Medidas de seguridad) del Real Decreto 311/2022, de 3 de mayo, por el que se regula el Esquema </w:t>
            </w:r>
            <w:r>
              <w:rPr>
                <w:rFonts w:ascii="Helvetica" w:eastAsia="Times New Roman" w:hAnsi="Helvetica" w:cs="Helvetica"/>
                <w:sz w:val="17"/>
                <w:szCs w:val="17"/>
              </w:rPr>
              <w:t>Nacional de Seguridad (ENS) en el ámbito de la Administración Electrónica,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11. CENSO ELECTORAL</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Bases de datos a efectos de cumplir las disposiciones de la Ley Orgánica 5/1985 del Régimen Electoral General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Fines de interés público basados en la legislación vigente, Publicaciones, Procedimiento administrativo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p w:rsidR="00000000" w:rsidRDefault="00684A4F">
            <w:pPr>
              <w:numPr>
                <w:ilvl w:val="0"/>
                <w:numId w:val="3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w:t>
            </w:r>
            <w:r>
              <w:rPr>
                <w:rFonts w:ascii="Helvetica" w:eastAsia="Times New Roman" w:hAnsi="Helvetica" w:cs="Helvetica"/>
                <w:sz w:val="17"/>
                <w:szCs w:val="17"/>
              </w:rPr>
              <w:t>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Registros públicos, Entidad privada, 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INVESTIGACIÓN histórica, estadística o científica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Académicos y profesionales, Detalles de empleo, Información comercial</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12. EXPEDIENTES ADMINISTRATIVOS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documental de los expedientes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económico-financiera pública, Gestión tributaria, inspección y recaudación., Fines de interés público basados en la legislación vigente, Publicaciones, Procedimiento administra</w:t>
            </w:r>
            <w:r>
              <w:rPr>
                <w:rFonts w:ascii="Helvetica" w:eastAsia="Times New Roman" w:hAnsi="Helvetica" w:cs="Helvetica"/>
                <w:sz w:val="17"/>
                <w:szCs w:val="17"/>
              </w:rPr>
              <w:t>tivo,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3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interés legítimo de ORGANISMOS PÚBLICOS en el ejercicio de sus funciones (artículo 6.1.f GDPR)</w:t>
            </w:r>
          </w:p>
          <w:p w:rsidR="00000000" w:rsidRDefault="00684A4F">
            <w:pPr>
              <w:numPr>
                <w:ilvl w:val="0"/>
                <w:numId w:val="3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una OBLIGACIÓN LEGAL del Responsable del tratamiento (artículo 6.1.c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w:t>
            </w:r>
            <w:r>
              <w:rPr>
                <w:rFonts w:ascii="Helvetica" w:eastAsia="Times New Roman" w:hAnsi="Helvetica" w:cs="Helvetica"/>
                <w:sz w:val="17"/>
                <w:szCs w:val="17"/>
              </w:rPr>
              <w:t xml:space="preserve">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000000" w:rsidRDefault="00684A4F">
            <w:pPr>
              <w:numPr>
                <w:ilvl w:val="0"/>
                <w:numId w:val="4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000000" w:rsidRDefault="00684A4F">
            <w:pPr>
              <w:numPr>
                <w:ilvl w:val="0"/>
                <w:numId w:val="4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Descripción general </w:t>
            </w:r>
            <w:r>
              <w:rPr>
                <w:rFonts w:ascii="Helvetica" w:eastAsia="Times New Roman" w:hAnsi="Helvetica" w:cs="Helvetica"/>
                <w:sz w:val="17"/>
                <w:szCs w:val="17"/>
              </w:rPr>
              <w:lastRenderedPageBreak/>
              <w:t>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 xml:space="preserve">Las medidas de seguridad implantadas se corresponden con las previstas en el Anexo II </w:t>
            </w:r>
            <w:r>
              <w:rPr>
                <w:rFonts w:ascii="Helvetica" w:eastAsia="Times New Roman" w:hAnsi="Helvetica" w:cs="Helvetica"/>
                <w:sz w:val="17"/>
                <w:szCs w:val="17"/>
              </w:rPr>
              <w:lastRenderedPageBreak/>
              <w:t>(Medidas de seguridad) del Real Decreto 311/2022, de 3 de mayo, por el que se regula el Esquema Nacional de Seguridad (ENS) en el ámbito de la Administración Electrónica,</w:t>
            </w:r>
            <w:r>
              <w:rPr>
                <w:rFonts w:ascii="Helvetica" w:eastAsia="Times New Roman" w:hAnsi="Helvetica" w:cs="Helvetica"/>
                <w:sz w:val="17"/>
                <w:szCs w:val="17"/>
              </w:rPr>
              <w:t xml:space="preserve"> las cuales se encuentran descritas en los documentos que conforman la política de protección de datos y seguridad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lastRenderedPageBreak/>
        <w:t>13. USUARIOS WEB</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de los Datos Personales recogidos a través de la página web y la sede electrónica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Publicidad y prospección comercial, Recursos humanos,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Consentimiento EXPLÍCITO para fines determinados (artículo 6.1.a 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Clientes y usuarios, Proveedores, Personas de contacto, Solicitantes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w:t>
            </w:r>
            <w:r>
              <w:rPr>
                <w:rFonts w:ascii="Helvetica" w:eastAsia="Times New Roman" w:hAnsi="Helvetica" w:cs="Helvetica"/>
                <w:sz w:val="17"/>
                <w:szCs w:val="17"/>
              </w:rPr>
              <w:t>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alcanzar los fines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 Imagen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 Detalles de empleo, Información comercial, Económicos, financieros y de seguro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4"/>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 xml:space="preserve">Empresas Grupo </w:t>
            </w:r>
            <w:proofErr w:type="spellStart"/>
            <w:r>
              <w:rPr>
                <w:rFonts w:ascii="Helvetica" w:eastAsia="Times New Roman" w:hAnsi="Helvetica" w:cs="Helvetica"/>
                <w:sz w:val="17"/>
                <w:szCs w:val="17"/>
              </w:rPr>
              <w:t>Arc</w:t>
            </w:r>
            <w:proofErr w:type="spellEnd"/>
            <w:r>
              <w:rPr>
                <w:rFonts w:ascii="Helvetica" w:eastAsia="Times New Roman" w:hAnsi="Helvetica" w:cs="Helvetica"/>
                <w:sz w:val="17"/>
                <w:szCs w:val="17"/>
              </w:rPr>
              <w:t xml:space="preserve"> </w:t>
            </w:r>
            <w:proofErr w:type="spellStart"/>
            <w:r>
              <w:rPr>
                <w:rFonts w:ascii="Helvetica" w:eastAsia="Times New Roman" w:hAnsi="Helvetica" w:cs="Helvetica"/>
                <w:sz w:val="17"/>
                <w:szCs w:val="17"/>
              </w:rPr>
              <w:t>Eurobanan</w:t>
            </w:r>
            <w:proofErr w:type="spellEnd"/>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w:t>
            </w:r>
            <w:r>
              <w:rPr>
                <w:rFonts w:ascii="Helvetica" w:eastAsia="Times New Roman" w:hAnsi="Helvetica" w:cs="Helvetica"/>
                <w:sz w:val="17"/>
                <w:szCs w:val="17"/>
              </w:rPr>
              <w:t>el Real Decreto 311/2022, de 3 de mayo, por el que se regula el Esquema Nacional de Seguridad (ENS) en el ámbito de la Administración Electrónica, las cuales se encuentran descritas en los documentos que conforman la política de protección de datos y segur</w:t>
            </w:r>
            <w:r>
              <w:rPr>
                <w:rFonts w:ascii="Helvetica" w:eastAsia="Times New Roman" w:hAnsi="Helvetica" w:cs="Helvetica"/>
                <w:sz w:val="17"/>
                <w:szCs w:val="17"/>
              </w:rPr>
              <w:t>idad de la información de nuestra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14. URBANISMO</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urbanística del Ayuntamiento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Gestión económico-financiera pública, Gestión tributaria, inspección y recaudación., Fines de interés público basados en la legislación vigente, Publicaciones, Procedimiento administrativo, Gestión contable, fiscal y administrativa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Por in</w:t>
            </w:r>
            <w:r>
              <w:rPr>
                <w:rFonts w:ascii="Helvetica" w:eastAsia="Times New Roman" w:hAnsi="Helvetica" w:cs="Helvetica"/>
                <w:sz w:val="17"/>
                <w:szCs w:val="17"/>
              </w:rPr>
              <w:t>terés legítimo de ORGANISMOS PÚBLICOS en el ejercicio de sus funciones (artículo 6.1.f GDPR)</w:t>
            </w:r>
          </w:p>
          <w:p w:rsidR="00000000" w:rsidRDefault="00684A4F">
            <w:pPr>
              <w:numPr>
                <w:ilvl w:val="0"/>
                <w:numId w:val="45"/>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 xml:space="preserve">Por una OBLIGACIÓN LEGAL del Responsable del tratamiento (artículo 6.1.c </w:t>
            </w:r>
            <w:r>
              <w:rPr>
                <w:rFonts w:ascii="Helvetica" w:eastAsia="Times New Roman" w:hAnsi="Helvetica" w:cs="Helvetica"/>
                <w:sz w:val="17"/>
                <w:szCs w:val="17"/>
              </w:rPr>
              <w:lastRenderedPageBreak/>
              <w:t>GDPR)</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Propietarios o arrendatarios, Solicitantes, Ciudadanos y residentes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no más tiempo del necesario para mantener los fines de archivo en INTERÉS PÚBLICO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Parcialmente 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Circunstancias sociales, Académicos y profesionales</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6"/>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Interesados legítimos</w:t>
            </w:r>
          </w:p>
          <w:p w:rsidR="00000000" w:rsidRDefault="00684A4F">
            <w:pPr>
              <w:numPr>
                <w:ilvl w:val="0"/>
                <w:numId w:val="47"/>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Fuerzas y cuerpos de seguridad</w:t>
            </w:r>
          </w:p>
          <w:p w:rsidR="00000000" w:rsidRDefault="00684A4F">
            <w:pPr>
              <w:numPr>
                <w:ilvl w:val="0"/>
                <w:numId w:val="48"/>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Instituto Nacional de Estadística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Las medidas de seguridad implantadas se corresponden con las previstas en el Anexo II (Medidas de seguridad) del Real Decreto 311/2022, de 3 d</w:t>
            </w:r>
            <w:r>
              <w:rPr>
                <w:rFonts w:ascii="Helvetica" w:eastAsia="Times New Roman" w:hAnsi="Helvetica" w:cs="Helvetica"/>
                <w:sz w:val="17"/>
                <w:szCs w:val="17"/>
              </w:rPr>
              <w:t>e mayo, por el que se regula el Esquema Nacional de Seguridad (ENS) en el ámbito de la Administración Electrónica, las cuales se encuentran descritas en los documentos que conforman la política de protección de datos y seguridad de la información de nuestr</w:t>
            </w:r>
            <w:r>
              <w:rPr>
                <w:rFonts w:ascii="Helvetica" w:eastAsia="Times New Roman" w:hAnsi="Helvetica" w:cs="Helvetica"/>
                <w:sz w:val="17"/>
                <w:szCs w:val="17"/>
              </w:rPr>
              <w:t>a entidad.</w:t>
            </w:r>
          </w:p>
        </w:tc>
      </w:tr>
    </w:tbl>
    <w:p w:rsidR="00000000" w:rsidRDefault="00684A4F">
      <w:pPr>
        <w:pStyle w:val="Ttulo3"/>
        <w:rPr>
          <w:rFonts w:ascii="Helvetica" w:eastAsia="Times New Roman" w:hAnsi="Helvetica" w:cs="Helvetica"/>
        </w:rPr>
      </w:pPr>
      <w:r>
        <w:rPr>
          <w:rFonts w:ascii="Helvetica" w:eastAsia="Times New Roman" w:hAnsi="Helvetica" w:cs="Helvetica"/>
        </w:rPr>
        <w:t>15. DENUNCIAS INTERNAS</w:t>
      </w:r>
    </w:p>
    <w:tbl>
      <w:tblPr>
        <w:tblW w:w="5000" w:type="pct"/>
        <w:tblCellMar>
          <w:top w:w="15" w:type="dxa"/>
          <w:left w:w="15" w:type="dxa"/>
          <w:bottom w:w="15" w:type="dxa"/>
          <w:right w:w="15" w:type="dxa"/>
        </w:tblCellMar>
        <w:tblLook w:val="04A0"/>
      </w:tblPr>
      <w:tblGrid>
        <w:gridCol w:w="1731"/>
        <w:gridCol w:w="6923"/>
      </w:tblGrid>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Tratamiento</w:t>
            </w:r>
          </w:p>
        </w:tc>
      </w:tr>
      <w:tr w:rsidR="00000000">
        <w:tc>
          <w:tcPr>
            <w:tcW w:w="1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w:t>
            </w:r>
          </w:p>
        </w:tc>
        <w:tc>
          <w:tcPr>
            <w:tcW w:w="4000" w:type="pct"/>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Sistema de información para poner en conocimiento la comisión de actos o conductas que pudieran resultar contrarios a la normativa general o sectorial que fuera aplicable a la organización, según lo indicado en la Ley 2/2023 de 20 de febrero reguladora de </w:t>
            </w:r>
            <w:r>
              <w:rPr>
                <w:rFonts w:ascii="Helvetica" w:eastAsia="Times New Roman" w:hAnsi="Helvetica" w:cs="Helvetica"/>
                <w:sz w:val="17"/>
                <w:szCs w:val="17"/>
              </w:rPr>
              <w:t>la protección de las personas que informen sobre infracciones normativas y de lucha contra la corrupción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Finalidades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Gestión de las denuncias para decidir iniciar una investigación, detectar posibles delitos, prevenir la imposición de responsabilidad </w:t>
            </w:r>
            <w:r>
              <w:rPr>
                <w:rFonts w:ascii="Helvetica" w:eastAsia="Times New Roman" w:hAnsi="Helvetica" w:cs="Helvetica"/>
                <w:sz w:val="17"/>
                <w:szCs w:val="17"/>
              </w:rPr>
              <w:t>y evitar cualquier tipo de conducta contraria a la normativa interna y externa de la entidad.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Legitimación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49"/>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 xml:space="preserve">Por una OBLIGACIÓN LEGAL del Responsable del tratamiento (artículo 6.1.c GDPR) </w:t>
            </w:r>
            <w:r>
              <w:rPr>
                <w:rFonts w:ascii="Helvetica" w:eastAsia="Times New Roman" w:hAnsi="Helvetica" w:cs="Helvetica"/>
                <w:i/>
                <w:iCs/>
                <w:sz w:val="17"/>
                <w:szCs w:val="17"/>
              </w:rPr>
              <w:t>Artículos 10 y 13 de la Ley 2/2023 reguladora de la protección de</w:t>
            </w:r>
            <w:r>
              <w:rPr>
                <w:rFonts w:ascii="Helvetica" w:eastAsia="Times New Roman" w:hAnsi="Helvetica" w:cs="Helvetica"/>
                <w:i/>
                <w:iCs/>
                <w:sz w:val="17"/>
                <w:szCs w:val="17"/>
              </w:rPr>
              <w:t xml:space="preserve"> las personas que informen sobre infracciones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Origen de los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Entidad privada, El mismo interesado o su representante legal</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interesados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Empleados, Clientes y usuarios, Proveedores, Asociados y miembros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Criterios de conservación</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Conservados durante un máximo de 3 meses desde la introducción de los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lastRenderedPageBreak/>
              <w:t>Sistema de tratamiento</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Automatizado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datos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Datos identificativos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DNI o NIF, Nombre y apellidos, Dirección postal o electrónica, Teléfono</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Categorías de datos especiales o penales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Otro tipo de datos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Características personales (personalidad o comportamiento)</w:t>
            </w:r>
          </w:p>
        </w:tc>
      </w:tr>
      <w:tr w:rsidR="00000000">
        <w:tc>
          <w:tcPr>
            <w:tcW w:w="0" w:type="auto"/>
            <w:gridSpan w:val="2"/>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Categorías de destinatarios</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Cesiones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numPr>
                <w:ilvl w:val="0"/>
                <w:numId w:val="50"/>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Organizaciones o personas directamente relacionadas con el responsable</w:t>
            </w:r>
          </w:p>
          <w:p w:rsidR="00000000" w:rsidRDefault="00684A4F">
            <w:pPr>
              <w:numPr>
                <w:ilvl w:val="0"/>
                <w:numId w:val="51"/>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Notarios, abogados y procuradores</w:t>
            </w:r>
          </w:p>
          <w:p w:rsidR="00000000" w:rsidRDefault="00684A4F">
            <w:pPr>
              <w:numPr>
                <w:ilvl w:val="0"/>
                <w:numId w:val="52"/>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Órganos judiciales</w:t>
            </w:r>
          </w:p>
          <w:p w:rsidR="00000000" w:rsidRDefault="00684A4F">
            <w:pPr>
              <w:numPr>
                <w:ilvl w:val="0"/>
                <w:numId w:val="53"/>
              </w:numPr>
              <w:spacing w:before="100" w:beforeAutospacing="1" w:after="100" w:afterAutospacing="1"/>
              <w:rPr>
                <w:rFonts w:ascii="Helvetica" w:eastAsia="Times New Roman" w:hAnsi="Helvetica" w:cs="Helvetica"/>
                <w:sz w:val="17"/>
                <w:szCs w:val="17"/>
              </w:rPr>
            </w:pPr>
            <w:r>
              <w:rPr>
                <w:rFonts w:ascii="Helvetica" w:eastAsia="Times New Roman" w:hAnsi="Helvetica" w:cs="Helvetica"/>
                <w:sz w:val="17"/>
                <w:szCs w:val="17"/>
              </w:rPr>
              <w:t>Administración pública con competencia en la materia</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Transferencias internacionales</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No existen</w:t>
            </w:r>
          </w:p>
        </w:tc>
      </w:tr>
      <w:tr w:rsidR="00000000">
        <w:tc>
          <w:tcPr>
            <w:tcW w:w="0" w:type="auto"/>
            <w:gridSpan w:val="2"/>
            <w:tcBorders>
              <w:top w:val="single" w:sz="6" w:space="0" w:color="BBBBBB"/>
              <w:left w:val="nil"/>
              <w:bottom w:val="single" w:sz="6" w:space="0" w:color="BBBBBB"/>
              <w:right w:val="nil"/>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b/>
                <w:bCs/>
                <w:sz w:val="17"/>
                <w:szCs w:val="17"/>
              </w:rPr>
              <w:t>Medidas de seguridad</w:t>
            </w:r>
          </w:p>
        </w:tc>
      </w:tr>
      <w:tr w:rsidR="00000000">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Descripción general de las medidas técnicas y organizativas de seguridad</w:t>
            </w:r>
          </w:p>
        </w:tc>
        <w:tc>
          <w:tcPr>
            <w:tcW w:w="0" w:type="auto"/>
            <w:tcBorders>
              <w:top w:val="single" w:sz="6" w:space="0" w:color="BBBBBB"/>
              <w:left w:val="single" w:sz="6" w:space="0" w:color="BBBBBB"/>
              <w:bottom w:val="single" w:sz="6" w:space="0" w:color="BBBBBB"/>
              <w:right w:val="single" w:sz="6" w:space="0" w:color="BBBBBB"/>
            </w:tcBorders>
            <w:tcMar>
              <w:top w:w="75" w:type="dxa"/>
              <w:left w:w="75" w:type="dxa"/>
              <w:bottom w:w="75" w:type="dxa"/>
              <w:right w:w="75" w:type="dxa"/>
            </w:tcMar>
            <w:vAlign w:val="center"/>
            <w:hideMark/>
          </w:tcPr>
          <w:p w:rsidR="00000000" w:rsidRDefault="00684A4F">
            <w:pPr>
              <w:rPr>
                <w:rFonts w:ascii="Helvetica" w:eastAsia="Times New Roman" w:hAnsi="Helvetica" w:cs="Helvetica"/>
                <w:sz w:val="17"/>
                <w:szCs w:val="17"/>
              </w:rPr>
            </w:pPr>
            <w:r>
              <w:rPr>
                <w:rFonts w:ascii="Helvetica" w:eastAsia="Times New Roman" w:hAnsi="Helvetica" w:cs="Helvetica"/>
                <w:sz w:val="17"/>
                <w:szCs w:val="17"/>
              </w:rPr>
              <w:t xml:space="preserve">Las medidas de seguridad implantadas se corresponden con las previstas en el Anexo II (Medidas de seguridad) del Real Decreto 311/2022, de 3 de mayo, por el que se regula el Esquema </w:t>
            </w:r>
            <w:r>
              <w:rPr>
                <w:rFonts w:ascii="Helvetica" w:eastAsia="Times New Roman" w:hAnsi="Helvetica" w:cs="Helvetica"/>
                <w:sz w:val="17"/>
                <w:szCs w:val="17"/>
              </w:rPr>
              <w:t>Nacional de Seguridad (ENS) en el ámbito de la Administración Electrónica, las cuales se encuentran descritas en los documentos que conforman la política de protección de datos y seguridad de la información de nuestra entidad.</w:t>
            </w:r>
          </w:p>
        </w:tc>
      </w:tr>
    </w:tbl>
    <w:p w:rsidR="00000000" w:rsidRDefault="00684A4F">
      <w:pPr>
        <w:divId w:val="1963920628"/>
        <w:rPr>
          <w:rFonts w:ascii="Helvetica" w:eastAsia="Times New Roman" w:hAnsi="Helvetica" w:cs="Helvetica"/>
          <w:sz w:val="20"/>
          <w:szCs w:val="20"/>
        </w:rPr>
      </w:pPr>
      <w:r>
        <w:rPr>
          <w:rFonts w:ascii="Helvetica" w:eastAsia="Times New Roman" w:hAnsi="Helvetica" w:cs="Helvetica"/>
          <w:sz w:val="20"/>
          <w:szCs w:val="20"/>
        </w:rPr>
        <w:t> </w:t>
      </w:r>
    </w:p>
    <w:p w:rsidR="00000000" w:rsidRDefault="00684A4F">
      <w:pPr>
        <w:divId w:val="2135561180"/>
        <w:rPr>
          <w:rFonts w:ascii="Helvetica" w:eastAsia="Times New Roman" w:hAnsi="Helvetica" w:cs="Helvetica"/>
          <w:sz w:val="20"/>
          <w:szCs w:val="20"/>
        </w:rPr>
      </w:pPr>
      <w:r>
        <w:rPr>
          <w:rFonts w:ascii="Helvetica" w:eastAsia="Times New Roman" w:hAnsi="Helvetica" w:cs="Helvetica"/>
          <w:sz w:val="20"/>
          <w:szCs w:val="20"/>
        </w:rPr>
        <w:t> </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42E"/>
    <w:multiLevelType w:val="multilevel"/>
    <w:tmpl w:val="AEFC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27B4C"/>
    <w:multiLevelType w:val="multilevel"/>
    <w:tmpl w:val="DEC2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8674E"/>
    <w:multiLevelType w:val="multilevel"/>
    <w:tmpl w:val="BCB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2714A"/>
    <w:multiLevelType w:val="multilevel"/>
    <w:tmpl w:val="E09A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F533E0"/>
    <w:multiLevelType w:val="multilevel"/>
    <w:tmpl w:val="8644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0627C"/>
    <w:multiLevelType w:val="multilevel"/>
    <w:tmpl w:val="F88E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32660A"/>
    <w:multiLevelType w:val="multilevel"/>
    <w:tmpl w:val="B14A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157DAA"/>
    <w:multiLevelType w:val="multilevel"/>
    <w:tmpl w:val="6152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14D05"/>
    <w:multiLevelType w:val="multilevel"/>
    <w:tmpl w:val="F6D4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6C38F7"/>
    <w:multiLevelType w:val="multilevel"/>
    <w:tmpl w:val="48F0A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936B01"/>
    <w:multiLevelType w:val="multilevel"/>
    <w:tmpl w:val="BD24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9668AC"/>
    <w:multiLevelType w:val="multilevel"/>
    <w:tmpl w:val="CC4A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18433C"/>
    <w:multiLevelType w:val="multilevel"/>
    <w:tmpl w:val="3DA0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EB3347"/>
    <w:multiLevelType w:val="multilevel"/>
    <w:tmpl w:val="B78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840855"/>
    <w:multiLevelType w:val="multilevel"/>
    <w:tmpl w:val="9C2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7D7536"/>
    <w:multiLevelType w:val="multilevel"/>
    <w:tmpl w:val="C38C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D32D80"/>
    <w:multiLevelType w:val="multilevel"/>
    <w:tmpl w:val="770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E77DDE"/>
    <w:multiLevelType w:val="multilevel"/>
    <w:tmpl w:val="1190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364CB7"/>
    <w:multiLevelType w:val="multilevel"/>
    <w:tmpl w:val="AC32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4057E1"/>
    <w:multiLevelType w:val="multilevel"/>
    <w:tmpl w:val="51C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0D3A30"/>
    <w:multiLevelType w:val="multilevel"/>
    <w:tmpl w:val="EA207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CA1CC8"/>
    <w:multiLevelType w:val="multilevel"/>
    <w:tmpl w:val="C106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C0F4D"/>
    <w:multiLevelType w:val="multilevel"/>
    <w:tmpl w:val="73B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9D11C9"/>
    <w:multiLevelType w:val="multilevel"/>
    <w:tmpl w:val="159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AC4FDE"/>
    <w:multiLevelType w:val="multilevel"/>
    <w:tmpl w:val="6DF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A213E9"/>
    <w:multiLevelType w:val="multilevel"/>
    <w:tmpl w:val="F698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1F1E21"/>
    <w:multiLevelType w:val="multilevel"/>
    <w:tmpl w:val="0F70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824C9A"/>
    <w:multiLevelType w:val="multilevel"/>
    <w:tmpl w:val="C6F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2A2EE8"/>
    <w:multiLevelType w:val="multilevel"/>
    <w:tmpl w:val="76040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E869BA"/>
    <w:multiLevelType w:val="multilevel"/>
    <w:tmpl w:val="8C44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1B30AD"/>
    <w:multiLevelType w:val="multilevel"/>
    <w:tmpl w:val="426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9879C2"/>
    <w:multiLevelType w:val="multilevel"/>
    <w:tmpl w:val="B21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31157"/>
    <w:multiLevelType w:val="multilevel"/>
    <w:tmpl w:val="EFEE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97469"/>
    <w:multiLevelType w:val="multilevel"/>
    <w:tmpl w:val="7AEC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654F08"/>
    <w:multiLevelType w:val="multilevel"/>
    <w:tmpl w:val="518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F635A5"/>
    <w:multiLevelType w:val="multilevel"/>
    <w:tmpl w:val="813C4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20E31"/>
    <w:multiLevelType w:val="multilevel"/>
    <w:tmpl w:val="3DB4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784581"/>
    <w:multiLevelType w:val="multilevel"/>
    <w:tmpl w:val="3692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E84DD6"/>
    <w:multiLevelType w:val="multilevel"/>
    <w:tmpl w:val="C38C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B023FA"/>
    <w:multiLevelType w:val="multilevel"/>
    <w:tmpl w:val="E0B6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30FF4"/>
    <w:multiLevelType w:val="multilevel"/>
    <w:tmpl w:val="7F98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131801"/>
    <w:multiLevelType w:val="multilevel"/>
    <w:tmpl w:val="1F64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D10BA2"/>
    <w:multiLevelType w:val="multilevel"/>
    <w:tmpl w:val="DFA0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391623"/>
    <w:multiLevelType w:val="multilevel"/>
    <w:tmpl w:val="C9B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C165FE"/>
    <w:multiLevelType w:val="multilevel"/>
    <w:tmpl w:val="043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AD3A97"/>
    <w:multiLevelType w:val="multilevel"/>
    <w:tmpl w:val="F14A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B67BEE"/>
    <w:multiLevelType w:val="multilevel"/>
    <w:tmpl w:val="63F6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710E61"/>
    <w:multiLevelType w:val="multilevel"/>
    <w:tmpl w:val="896A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C7649E"/>
    <w:multiLevelType w:val="multilevel"/>
    <w:tmpl w:val="9F7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B52233"/>
    <w:multiLevelType w:val="multilevel"/>
    <w:tmpl w:val="5AD8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BBA505C"/>
    <w:multiLevelType w:val="multilevel"/>
    <w:tmpl w:val="28A6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5463F6"/>
    <w:multiLevelType w:val="multilevel"/>
    <w:tmpl w:val="5CDA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C632CA6"/>
    <w:multiLevelType w:val="multilevel"/>
    <w:tmpl w:val="179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8"/>
  </w:num>
  <w:num w:numId="3">
    <w:abstractNumId w:val="19"/>
  </w:num>
  <w:num w:numId="4">
    <w:abstractNumId w:val="34"/>
  </w:num>
  <w:num w:numId="5">
    <w:abstractNumId w:val="5"/>
  </w:num>
  <w:num w:numId="6">
    <w:abstractNumId w:val="37"/>
  </w:num>
  <w:num w:numId="7">
    <w:abstractNumId w:val="22"/>
  </w:num>
  <w:num w:numId="8">
    <w:abstractNumId w:val="7"/>
  </w:num>
  <w:num w:numId="9">
    <w:abstractNumId w:val="17"/>
  </w:num>
  <w:num w:numId="10">
    <w:abstractNumId w:val="13"/>
  </w:num>
  <w:num w:numId="11">
    <w:abstractNumId w:val="24"/>
  </w:num>
  <w:num w:numId="12">
    <w:abstractNumId w:val="43"/>
  </w:num>
  <w:num w:numId="13">
    <w:abstractNumId w:val="49"/>
  </w:num>
  <w:num w:numId="14">
    <w:abstractNumId w:val="35"/>
  </w:num>
  <w:num w:numId="15">
    <w:abstractNumId w:val="27"/>
  </w:num>
  <w:num w:numId="16">
    <w:abstractNumId w:val="52"/>
  </w:num>
  <w:num w:numId="17">
    <w:abstractNumId w:val="50"/>
  </w:num>
  <w:num w:numId="18">
    <w:abstractNumId w:val="42"/>
  </w:num>
  <w:num w:numId="19">
    <w:abstractNumId w:val="11"/>
  </w:num>
  <w:num w:numId="20">
    <w:abstractNumId w:val="45"/>
  </w:num>
  <w:num w:numId="21">
    <w:abstractNumId w:val="51"/>
  </w:num>
  <w:num w:numId="22">
    <w:abstractNumId w:val="15"/>
  </w:num>
  <w:num w:numId="23">
    <w:abstractNumId w:val="26"/>
  </w:num>
  <w:num w:numId="24">
    <w:abstractNumId w:val="30"/>
  </w:num>
  <w:num w:numId="25">
    <w:abstractNumId w:val="6"/>
  </w:num>
  <w:num w:numId="26">
    <w:abstractNumId w:val="0"/>
  </w:num>
  <w:num w:numId="27">
    <w:abstractNumId w:val="31"/>
  </w:num>
  <w:num w:numId="28">
    <w:abstractNumId w:val="1"/>
  </w:num>
  <w:num w:numId="29">
    <w:abstractNumId w:val="36"/>
  </w:num>
  <w:num w:numId="30">
    <w:abstractNumId w:val="3"/>
  </w:num>
  <w:num w:numId="31">
    <w:abstractNumId w:val="4"/>
  </w:num>
  <w:num w:numId="32">
    <w:abstractNumId w:val="33"/>
  </w:num>
  <w:num w:numId="33">
    <w:abstractNumId w:val="47"/>
  </w:num>
  <w:num w:numId="34">
    <w:abstractNumId w:val="21"/>
  </w:num>
  <w:num w:numId="35">
    <w:abstractNumId w:val="16"/>
  </w:num>
  <w:num w:numId="36">
    <w:abstractNumId w:val="9"/>
  </w:num>
  <w:num w:numId="37">
    <w:abstractNumId w:val="41"/>
  </w:num>
  <w:num w:numId="38">
    <w:abstractNumId w:val="28"/>
  </w:num>
  <w:num w:numId="39">
    <w:abstractNumId w:val="12"/>
  </w:num>
  <w:num w:numId="40">
    <w:abstractNumId w:val="2"/>
  </w:num>
  <w:num w:numId="41">
    <w:abstractNumId w:val="14"/>
  </w:num>
  <w:num w:numId="42">
    <w:abstractNumId w:val="32"/>
  </w:num>
  <w:num w:numId="43">
    <w:abstractNumId w:val="25"/>
  </w:num>
  <w:num w:numId="44">
    <w:abstractNumId w:val="23"/>
  </w:num>
  <w:num w:numId="45">
    <w:abstractNumId w:val="39"/>
  </w:num>
  <w:num w:numId="46">
    <w:abstractNumId w:val="8"/>
  </w:num>
  <w:num w:numId="47">
    <w:abstractNumId w:val="44"/>
  </w:num>
  <w:num w:numId="48">
    <w:abstractNumId w:val="40"/>
  </w:num>
  <w:num w:numId="49">
    <w:abstractNumId w:val="29"/>
  </w:num>
  <w:num w:numId="50">
    <w:abstractNumId w:val="10"/>
  </w:num>
  <w:num w:numId="51">
    <w:abstractNumId w:val="46"/>
  </w:num>
  <w:num w:numId="52">
    <w:abstractNumId w:val="38"/>
  </w:num>
  <w:num w:numId="53">
    <w:abstractNumId w:val="1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6B0E7F"/>
    <w:rsid w:val="00684A4F"/>
    <w:rsid w:val="006B0E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20"/>
    </w:pPr>
  </w:style>
  <w:style w:type="paragraph" w:customStyle="1" w:styleId="pdfdatatable">
    <w:name w:val="pdf_datatable"/>
    <w:basedOn w:val="Normal"/>
    <w:pPr>
      <w:spacing w:before="100" w:beforeAutospacing="1" w:after="120"/>
    </w:pPr>
    <w:rPr>
      <w:sz w:val="17"/>
      <w:szCs w:val="17"/>
    </w:rPr>
  </w:style>
  <w:style w:type="paragraph" w:customStyle="1" w:styleId="error">
    <w:name w:val="error"/>
    <w:basedOn w:val="Normal"/>
    <w:pPr>
      <w:spacing w:before="100" w:beforeAutospacing="1" w:after="120"/>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20"/>
    </w:pPr>
    <w:rPr>
      <w:color w:val="000000"/>
    </w:rPr>
  </w:style>
  <w:style w:type="paragraph" w:customStyle="1" w:styleId="msgerror">
    <w:name w:val="msg_error"/>
    <w:basedOn w:val="Normal"/>
    <w:pPr>
      <w:shd w:val="clear" w:color="auto" w:fill="DD0000"/>
      <w:spacing w:before="100" w:beforeAutospacing="1" w:after="120"/>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20"/>
    </w:pPr>
    <w:rPr>
      <w:color w:val="000000"/>
    </w:rPr>
  </w:style>
  <w:style w:type="character" w:styleId="Textoennegrita">
    <w:name w:val="Strong"/>
    <w:basedOn w:val="Fuentedeprrafopredeter"/>
    <w:uiPriority w:val="22"/>
    <w:qFormat/>
    <w:rPr>
      <w:b/>
      <w:bCs/>
    </w:rPr>
  </w:style>
</w:styles>
</file>

<file path=word/webSettings.xml><?xml version="1.0" encoding="utf-8"?>
<w:webSettings xmlns:r="http://schemas.openxmlformats.org/officeDocument/2006/relationships" xmlns:w="http://schemas.openxmlformats.org/wordprocessingml/2006/main">
  <w:divs>
    <w:div w:id="39131654">
      <w:marLeft w:val="0"/>
      <w:marRight w:val="0"/>
      <w:marTop w:val="0"/>
      <w:marBottom w:val="0"/>
      <w:divBdr>
        <w:top w:val="none" w:sz="0" w:space="0" w:color="auto"/>
        <w:left w:val="none" w:sz="0" w:space="0" w:color="auto"/>
        <w:bottom w:val="none" w:sz="0" w:space="0" w:color="auto"/>
        <w:right w:val="none" w:sz="0" w:space="0" w:color="auto"/>
      </w:divBdr>
    </w:div>
    <w:div w:id="213390887">
      <w:marLeft w:val="0"/>
      <w:marRight w:val="0"/>
      <w:marTop w:val="0"/>
      <w:marBottom w:val="0"/>
      <w:divBdr>
        <w:top w:val="none" w:sz="0" w:space="0" w:color="auto"/>
        <w:left w:val="none" w:sz="0" w:space="0" w:color="auto"/>
        <w:bottom w:val="none" w:sz="0" w:space="0" w:color="auto"/>
        <w:right w:val="none" w:sz="0" w:space="0" w:color="auto"/>
      </w:divBdr>
    </w:div>
    <w:div w:id="216548367">
      <w:marLeft w:val="0"/>
      <w:marRight w:val="0"/>
      <w:marTop w:val="0"/>
      <w:marBottom w:val="0"/>
      <w:divBdr>
        <w:top w:val="none" w:sz="0" w:space="0" w:color="auto"/>
        <w:left w:val="none" w:sz="0" w:space="0" w:color="auto"/>
        <w:bottom w:val="none" w:sz="0" w:space="0" w:color="auto"/>
        <w:right w:val="none" w:sz="0" w:space="0" w:color="auto"/>
      </w:divBdr>
    </w:div>
    <w:div w:id="443810853">
      <w:marLeft w:val="0"/>
      <w:marRight w:val="0"/>
      <w:marTop w:val="0"/>
      <w:marBottom w:val="0"/>
      <w:divBdr>
        <w:top w:val="none" w:sz="0" w:space="0" w:color="auto"/>
        <w:left w:val="none" w:sz="0" w:space="0" w:color="auto"/>
        <w:bottom w:val="none" w:sz="0" w:space="0" w:color="auto"/>
        <w:right w:val="none" w:sz="0" w:space="0" w:color="auto"/>
      </w:divBdr>
    </w:div>
    <w:div w:id="546649838">
      <w:marLeft w:val="0"/>
      <w:marRight w:val="0"/>
      <w:marTop w:val="0"/>
      <w:marBottom w:val="0"/>
      <w:divBdr>
        <w:top w:val="none" w:sz="0" w:space="0" w:color="auto"/>
        <w:left w:val="none" w:sz="0" w:space="0" w:color="auto"/>
        <w:bottom w:val="none" w:sz="0" w:space="0" w:color="auto"/>
        <w:right w:val="none" w:sz="0" w:space="0" w:color="auto"/>
      </w:divBdr>
    </w:div>
    <w:div w:id="877854779">
      <w:marLeft w:val="0"/>
      <w:marRight w:val="0"/>
      <w:marTop w:val="0"/>
      <w:marBottom w:val="0"/>
      <w:divBdr>
        <w:top w:val="none" w:sz="0" w:space="0" w:color="auto"/>
        <w:left w:val="none" w:sz="0" w:space="0" w:color="auto"/>
        <w:bottom w:val="none" w:sz="0" w:space="0" w:color="auto"/>
        <w:right w:val="none" w:sz="0" w:space="0" w:color="auto"/>
      </w:divBdr>
    </w:div>
    <w:div w:id="1356543181">
      <w:marLeft w:val="0"/>
      <w:marRight w:val="0"/>
      <w:marTop w:val="0"/>
      <w:marBottom w:val="0"/>
      <w:divBdr>
        <w:top w:val="none" w:sz="0" w:space="0" w:color="auto"/>
        <w:left w:val="none" w:sz="0" w:space="0" w:color="auto"/>
        <w:bottom w:val="none" w:sz="0" w:space="0" w:color="auto"/>
        <w:right w:val="none" w:sz="0" w:space="0" w:color="auto"/>
      </w:divBdr>
    </w:div>
    <w:div w:id="1410539096">
      <w:marLeft w:val="0"/>
      <w:marRight w:val="0"/>
      <w:marTop w:val="0"/>
      <w:marBottom w:val="0"/>
      <w:divBdr>
        <w:top w:val="none" w:sz="0" w:space="0" w:color="auto"/>
        <w:left w:val="none" w:sz="0" w:space="0" w:color="auto"/>
        <w:bottom w:val="none" w:sz="0" w:space="0" w:color="auto"/>
        <w:right w:val="none" w:sz="0" w:space="0" w:color="auto"/>
      </w:divBdr>
    </w:div>
    <w:div w:id="1444809189">
      <w:marLeft w:val="0"/>
      <w:marRight w:val="0"/>
      <w:marTop w:val="0"/>
      <w:marBottom w:val="0"/>
      <w:divBdr>
        <w:top w:val="none" w:sz="0" w:space="0" w:color="auto"/>
        <w:left w:val="none" w:sz="0" w:space="0" w:color="auto"/>
        <w:bottom w:val="none" w:sz="0" w:space="0" w:color="auto"/>
        <w:right w:val="none" w:sz="0" w:space="0" w:color="auto"/>
      </w:divBdr>
    </w:div>
    <w:div w:id="1714160827">
      <w:marLeft w:val="0"/>
      <w:marRight w:val="0"/>
      <w:marTop w:val="0"/>
      <w:marBottom w:val="0"/>
      <w:divBdr>
        <w:top w:val="none" w:sz="0" w:space="0" w:color="auto"/>
        <w:left w:val="none" w:sz="0" w:space="0" w:color="auto"/>
        <w:bottom w:val="none" w:sz="0" w:space="0" w:color="auto"/>
        <w:right w:val="none" w:sz="0" w:space="0" w:color="auto"/>
      </w:divBdr>
    </w:div>
    <w:div w:id="1813055040">
      <w:marLeft w:val="0"/>
      <w:marRight w:val="0"/>
      <w:marTop w:val="0"/>
      <w:marBottom w:val="0"/>
      <w:divBdr>
        <w:top w:val="none" w:sz="0" w:space="0" w:color="auto"/>
        <w:left w:val="none" w:sz="0" w:space="0" w:color="auto"/>
        <w:bottom w:val="none" w:sz="0" w:space="0" w:color="auto"/>
        <w:right w:val="none" w:sz="0" w:space="0" w:color="auto"/>
      </w:divBdr>
    </w:div>
    <w:div w:id="1871912036">
      <w:marLeft w:val="0"/>
      <w:marRight w:val="0"/>
      <w:marTop w:val="0"/>
      <w:marBottom w:val="0"/>
      <w:divBdr>
        <w:top w:val="none" w:sz="0" w:space="0" w:color="auto"/>
        <w:left w:val="none" w:sz="0" w:space="0" w:color="auto"/>
        <w:bottom w:val="none" w:sz="0" w:space="0" w:color="auto"/>
        <w:right w:val="none" w:sz="0" w:space="0" w:color="auto"/>
      </w:divBdr>
    </w:div>
    <w:div w:id="1963920628">
      <w:marLeft w:val="0"/>
      <w:marRight w:val="0"/>
      <w:marTop w:val="0"/>
      <w:marBottom w:val="0"/>
      <w:divBdr>
        <w:top w:val="none" w:sz="0" w:space="0" w:color="auto"/>
        <w:left w:val="none" w:sz="0" w:space="0" w:color="auto"/>
        <w:bottom w:val="none" w:sz="0" w:space="0" w:color="auto"/>
        <w:right w:val="none" w:sz="0" w:space="0" w:color="auto"/>
      </w:divBdr>
    </w:div>
    <w:div w:id="21355611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4242</Words>
  <Characters>25733</Characters>
  <Application>Microsoft Office Word</Application>
  <DocSecurity>0</DocSecurity>
  <Lines>214</Lines>
  <Paragraphs>59</Paragraphs>
  <ScaleCrop>false</ScaleCrop>
  <Company>HP</Company>
  <LinksUpToDate>false</LinksUpToDate>
  <CharactersWithSpaces>29916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2024-08-15T16:01:00Z</dcterms:created>
  <dcterms:modified xsi:type="dcterms:W3CDTF">2024-08-15T16:01:00Z</dcterms:modified>
</cp:coreProperties>
</file>